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78" w:afterAutospacing="0" w:line="2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24"/>
          <w:szCs w:val="24"/>
        </w:rPr>
        <w:t>2023年1-4月拉萨市固定资产投资统计表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94"/>
        <w:gridCol w:w="3387"/>
        <w:gridCol w:w="28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16" w:hRule="exact"/>
        </w:trPr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3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固定资产投资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统计比增加（%）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统计比增长(%)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民间投资同比增长(%)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全市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82.4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56.9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城关区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214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堆龙德庆区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97.7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22.5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达孜区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178.2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-13.1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林周县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98.2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当雄县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684.1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889.6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尼木县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曲水县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506.6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99.5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柳梧新区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62.6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-53.2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墨竹工卡县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91.7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经济技术开发区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63.1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147.4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19" w:hRule="exact"/>
        </w:trPr>
        <w:tc>
          <w:tcPr>
            <w:tcW w:w="2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西藏文化旅游创意园区</w:t>
            </w:r>
          </w:p>
        </w:tc>
        <w:tc>
          <w:tcPr>
            <w:tcW w:w="3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8" w:afterAutospacing="0" w:line="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</w:rPr>
              <w:t>-35.7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2VjMDAwOWMxMmVmNmE2OTlhMTQ2ZDNkMzFmMTYifQ=="/>
  </w:docVars>
  <w:rsids>
    <w:rsidRoot w:val="2D451F4B"/>
    <w:rsid w:val="2D451F4B"/>
    <w:rsid w:val="745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1164</Characters>
  <Lines>0</Lines>
  <Paragraphs>0</Paragraphs>
  <TotalTime>5</TotalTime>
  <ScaleCrop>false</ScaleCrop>
  <LinksUpToDate>false</LinksUpToDate>
  <CharactersWithSpaces>1164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2023-06-11T14:43:00Z</dcterms:created>
  <dc:creator>掠夺者</dc:creator>
  <cp:lastModifiedBy>掠夺者</cp:lastModifiedBy>
  <dcterms:modified xsi:type="dcterms:W3CDTF">2023-06-11T14:50:56Z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C6FA382916B64338BEAA783A4ADEE0B3_11</vt:lpwstr>
  </property>
</Properties>
</file>